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445" w:rsidRPr="00E36445" w:rsidRDefault="00E36445" w:rsidP="00E36445">
      <w:pPr>
        <w:spacing w:after="0" w:line="240" w:lineRule="auto"/>
        <w:jc w:val="center"/>
        <w:outlineLvl w:val="1"/>
        <w:rPr>
          <w:rFonts w:ascii="Arial" w:eastAsia="Times New Roman" w:hAnsi="Arial" w:cs="Times New Roman"/>
          <w:spacing w:val="22"/>
          <w:sz w:val="28"/>
          <w:szCs w:val="21"/>
          <w:lang w:eastAsia="en-CA"/>
        </w:rPr>
      </w:pPr>
      <w:r w:rsidRPr="00E36445">
        <w:rPr>
          <w:rFonts w:ascii="Arial" w:eastAsia="Times New Roman" w:hAnsi="Arial" w:cs="Times New Roman"/>
          <w:b/>
          <w:spacing w:val="22"/>
          <w:sz w:val="28"/>
          <w:szCs w:val="21"/>
          <w:lang w:eastAsia="en-CA"/>
        </w:rPr>
        <w:t>Schools of Criticism</w:t>
      </w:r>
    </w:p>
    <w:p w:rsidR="00E36445" w:rsidRPr="00E36445" w:rsidRDefault="00E36445" w:rsidP="00E36445">
      <w:pPr>
        <w:spacing w:after="0" w:line="240" w:lineRule="auto"/>
        <w:jc w:val="center"/>
        <w:outlineLvl w:val="1"/>
        <w:rPr>
          <w:rFonts w:ascii="Arial" w:hAnsi="Arial"/>
          <w:i/>
          <w:sz w:val="20"/>
        </w:rPr>
      </w:pPr>
      <w:r w:rsidRPr="00E36445">
        <w:rPr>
          <w:rFonts w:ascii="Arial" w:eastAsia="Times New Roman" w:hAnsi="Arial" w:cs="Times New Roman"/>
          <w:i/>
          <w:spacing w:val="22"/>
          <w:sz w:val="20"/>
          <w:szCs w:val="21"/>
          <w:lang w:eastAsia="en-CA"/>
        </w:rPr>
        <w:t>(</w:t>
      </w:r>
      <w:proofErr w:type="gramStart"/>
      <w:r w:rsidRPr="00E36445">
        <w:rPr>
          <w:rFonts w:ascii="Arial" w:eastAsia="Times New Roman" w:hAnsi="Arial" w:cs="Times New Roman"/>
          <w:i/>
          <w:spacing w:val="22"/>
          <w:sz w:val="20"/>
          <w:szCs w:val="21"/>
          <w:lang w:eastAsia="en-CA"/>
        </w:rPr>
        <w:t>from</w:t>
      </w:r>
      <w:proofErr w:type="gramEnd"/>
      <w:r w:rsidRPr="00E36445">
        <w:rPr>
          <w:rFonts w:ascii="Arial" w:eastAsia="Times New Roman" w:hAnsi="Arial" w:cs="Times New Roman"/>
          <w:i/>
          <w:spacing w:val="22"/>
          <w:sz w:val="20"/>
          <w:szCs w:val="21"/>
          <w:lang w:eastAsia="en-CA"/>
        </w:rPr>
        <w:t xml:space="preserve"> </w:t>
      </w:r>
      <w:hyperlink r:id="rId7" w:history="1">
        <w:r w:rsidRPr="00E36445">
          <w:rPr>
            <w:rStyle w:val="Hyperlink"/>
            <w:rFonts w:ascii="Arial" w:hAnsi="Arial"/>
            <w:i/>
            <w:color w:val="auto"/>
            <w:sz w:val="20"/>
          </w:rPr>
          <w:t>http://www.textetc.com/criticism.html</w:t>
        </w:r>
      </w:hyperlink>
      <w:r w:rsidRPr="00E36445">
        <w:rPr>
          <w:rFonts w:ascii="Arial" w:hAnsi="Arial"/>
          <w:i/>
          <w:sz w:val="20"/>
        </w:rPr>
        <w:t>)</w:t>
      </w:r>
    </w:p>
    <w:p w:rsidR="00E36445" w:rsidRPr="00E36445" w:rsidRDefault="00E36445" w:rsidP="00E36445">
      <w:pPr>
        <w:spacing w:after="0" w:line="240" w:lineRule="auto"/>
        <w:jc w:val="center"/>
        <w:outlineLvl w:val="1"/>
        <w:rPr>
          <w:rFonts w:ascii="Arial" w:eastAsia="Times New Roman" w:hAnsi="Arial" w:cs="Times New Roman"/>
          <w:i/>
          <w:spacing w:val="22"/>
          <w:sz w:val="20"/>
          <w:szCs w:val="21"/>
          <w:lang w:eastAsia="en-CA"/>
        </w:rPr>
      </w:pPr>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Suppose we bear that question in mind in surveying the various schools of criticism. There are many, but could perhaps be grouped as:</w:t>
      </w:r>
    </w:p>
    <w:p w:rsidR="00E36445" w:rsidRP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8" w:history="1">
        <w:r w:rsidRPr="00E36445">
          <w:rPr>
            <w:rFonts w:ascii="Arial" w:eastAsia="Times New Roman" w:hAnsi="Arial" w:cs="Times New Roman"/>
            <w:b/>
            <w:i/>
            <w:sz w:val="20"/>
            <w:szCs w:val="24"/>
            <w:lang w:eastAsia="en-CA"/>
          </w:rPr>
          <w:t>Traditional</w:t>
        </w:r>
      </w:hyperlink>
    </w:p>
    <w:p w:rsidR="00E36445" w:rsidRDefault="00E36445" w:rsidP="00E36445">
      <w:pPr>
        <w:spacing w:after="0" w:line="240" w:lineRule="auto"/>
        <w:rPr>
          <w:rFonts w:ascii="Arial" w:eastAsia="Times New Roman" w:hAnsi="Arial" w:cs="Times New Roman"/>
          <w:sz w:val="20"/>
          <w:szCs w:val="24"/>
          <w:shd w:val="clear" w:color="auto" w:fill="FFFFFF"/>
          <w:lang w:eastAsia="en-CA"/>
        </w:rPr>
      </w:pPr>
      <w:bookmarkStart w:id="0" w:name="_GoBack"/>
      <w:bookmarkEnd w:id="0"/>
      <w:r w:rsidRPr="00E36445">
        <w:rPr>
          <w:rFonts w:ascii="Arial" w:eastAsia="Times New Roman" w:hAnsi="Arial" w:cs="Times New Roman"/>
          <w:sz w:val="20"/>
          <w:szCs w:val="24"/>
          <w:shd w:val="clear" w:color="auto" w:fill="FFFFFF"/>
          <w:lang w:eastAsia="en-CA"/>
        </w:rPr>
        <w:t>Though perhaps Edwardian in style, this approach — essentially one of trying to broaden understanding and appreciation — is still used in general surveys of English literature. There is usually some information on the writer and his times, and a little illustration, but no close analysis of the individual work or its aims.</w:t>
      </w:r>
    </w:p>
    <w:p w:rsidR="00E36445" w:rsidRPr="00E36445" w:rsidRDefault="00E36445" w:rsidP="00E36445">
      <w:pPr>
        <w:spacing w:after="0" w:line="240" w:lineRule="auto"/>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9" w:history="1">
        <w:r w:rsidRPr="00E36445">
          <w:rPr>
            <w:rFonts w:ascii="Arial" w:eastAsia="Times New Roman" w:hAnsi="Arial" w:cs="Times New Roman"/>
            <w:b/>
            <w:i/>
            <w:sz w:val="20"/>
            <w:szCs w:val="24"/>
            <w:lang w:eastAsia="en-CA"/>
          </w:rPr>
          <w:t>New Criticism</w:t>
        </w:r>
      </w:hyperlink>
    </w:p>
    <w:p w:rsidR="00E36445" w:rsidRPr="00E36445" w:rsidRDefault="00E36445" w:rsidP="00E36445">
      <w:pPr>
        <w:spacing w:after="0" w:line="240" w:lineRule="auto"/>
        <w:rPr>
          <w:rFonts w:ascii="Arial" w:eastAsia="Times New Roman" w:hAnsi="Arial" w:cs="Times New Roman"/>
          <w:sz w:val="20"/>
          <w:szCs w:val="24"/>
          <w:lang w:eastAsia="en-CA"/>
        </w:rPr>
      </w:pPr>
      <w:r w:rsidRPr="00E36445">
        <w:rPr>
          <w:rFonts w:ascii="Arial" w:eastAsia="Times New Roman" w:hAnsi="Arial" w:cs="Times New Roman"/>
          <w:sz w:val="20"/>
          <w:szCs w:val="24"/>
          <w:shd w:val="clear" w:color="auto" w:fill="FFFFFF"/>
          <w:lang w:eastAsia="en-CA"/>
        </w:rPr>
        <w:t xml:space="preserve">The poem (the approach works best for </w:t>
      </w:r>
      <w:proofErr w:type="gramStart"/>
      <w:r w:rsidRPr="00E36445">
        <w:rPr>
          <w:rFonts w:ascii="Arial" w:eastAsia="Times New Roman" w:hAnsi="Arial" w:cs="Times New Roman"/>
          <w:sz w:val="20"/>
          <w:szCs w:val="24"/>
          <w:shd w:val="clear" w:color="auto" w:fill="FFFFFF"/>
          <w:lang w:eastAsia="en-CA"/>
        </w:rPr>
        <w:t>poetry,</w:t>
      </w:r>
      <w:proofErr w:type="gramEnd"/>
      <w:r w:rsidRPr="00E36445">
        <w:rPr>
          <w:rFonts w:ascii="Arial" w:eastAsia="Times New Roman" w:hAnsi="Arial" w:cs="Times New Roman"/>
          <w:sz w:val="20"/>
          <w:szCs w:val="24"/>
          <w:shd w:val="clear" w:color="auto" w:fill="FFFFFF"/>
          <w:lang w:eastAsia="en-CA"/>
        </w:rPr>
        <w:t xml:space="preserve"> and especially the lyric) is detached from its biographical or historical context, and analyzed thoroughly: diction, imagery, meanings, particularly complexities of meaning. Some explanation of unfamiliar words and/or uses may be allowed, but the poem is otherwise expected to stand on its own feet, as though it were a contemporary production.</w:t>
      </w:r>
    </w:p>
    <w:p w:rsidR="00E36445" w:rsidRDefault="00E36445" w:rsidP="00E36445">
      <w:pPr>
        <w:spacing w:after="0" w:line="315" w:lineRule="atLeast"/>
        <w:rPr>
          <w:rFonts w:ascii="Arial" w:eastAsia="Times New Roman" w:hAnsi="Arial" w:cs="Times New Roman"/>
          <w:b/>
          <w:i/>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0" w:history="1">
        <w:proofErr w:type="spellStart"/>
        <w:r w:rsidRPr="00E36445">
          <w:rPr>
            <w:rFonts w:ascii="Arial" w:eastAsia="Times New Roman" w:hAnsi="Arial" w:cs="Times New Roman"/>
            <w:b/>
            <w:i/>
            <w:sz w:val="20"/>
            <w:szCs w:val="24"/>
            <w:lang w:eastAsia="en-CA"/>
          </w:rPr>
          <w:t>Structuralist</w:t>
        </w:r>
        <w:proofErr w:type="spellEnd"/>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Here the writing is related to underlying patterns of symmetry which are held to be common to all societies. Evidence is drawn from sociology and anthropology, and the approach attempts to place the work in larger context rather than assess its quality.</w:t>
      </w:r>
    </w:p>
    <w:p w:rsid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1" w:history="1">
        <w:r w:rsidRPr="00E36445">
          <w:rPr>
            <w:rFonts w:ascii="Arial" w:eastAsia="Times New Roman" w:hAnsi="Arial" w:cs="Times New Roman"/>
            <w:b/>
            <w:i/>
            <w:sz w:val="20"/>
            <w:szCs w:val="24"/>
            <w:lang w:eastAsia="en-CA"/>
          </w:rPr>
          <w:t>Post-</w:t>
        </w:r>
        <w:proofErr w:type="spellStart"/>
        <w:r w:rsidRPr="00E36445">
          <w:rPr>
            <w:rFonts w:ascii="Arial" w:eastAsia="Times New Roman" w:hAnsi="Arial" w:cs="Times New Roman"/>
            <w:b/>
            <w:i/>
            <w:sz w:val="20"/>
            <w:szCs w:val="24"/>
            <w:lang w:eastAsia="en-CA"/>
          </w:rPr>
          <w:t>structuralist</w:t>
        </w:r>
        <w:proofErr w:type="spellEnd"/>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In contrast to the New Critics approach, which stresses interdependence and organic unity, the Poststructuralist will point to the dissonances and the non sequiturs, and suggest how the poem works by evading or confronting traditional expectations.</w:t>
      </w:r>
    </w:p>
    <w:p w:rsid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2" w:history="1">
        <w:r w:rsidRPr="00E36445">
          <w:rPr>
            <w:rFonts w:ascii="Arial" w:eastAsia="Times New Roman" w:hAnsi="Arial" w:cs="Times New Roman"/>
            <w:b/>
            <w:i/>
            <w:sz w:val="20"/>
            <w:szCs w:val="24"/>
            <w:lang w:eastAsia="en-CA"/>
          </w:rPr>
          <w:t>Myth Theory</w:t>
        </w:r>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The approach derives from Northrop Frye and attempts to place poems into categories or subcategories into which all literature is divide by archetypal themes — e.g. the myth of the hero, his subjugation of enemies, his fall. The approach somewhat anticipated structuralism, draws on various psychologies, and is less concerned with isolating what is special than showing what it has in common with works in a similar category.</w:t>
      </w:r>
    </w:p>
    <w:p w:rsid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3" w:history="1">
        <w:r w:rsidRPr="00E36445">
          <w:rPr>
            <w:rFonts w:ascii="Arial" w:eastAsia="Times New Roman" w:hAnsi="Arial" w:cs="Times New Roman"/>
            <w:b/>
            <w:i/>
            <w:sz w:val="20"/>
            <w:szCs w:val="24"/>
            <w:lang w:eastAsia="en-CA"/>
          </w:rPr>
          <w:t>Freudian</w:t>
        </w:r>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 xml:space="preserve">Not only is the diction examined for sexual imagery, but the whole work is seen through Freudian concepts: struggles of the superego, the Oedipus complex, with the repressed contents of </w:t>
      </w:r>
      <w:proofErr w:type="gramStart"/>
      <w:r w:rsidRPr="00E36445">
        <w:rPr>
          <w:rFonts w:ascii="Arial" w:eastAsia="Times New Roman" w:hAnsi="Arial" w:cs="Times New Roman"/>
          <w:sz w:val="20"/>
          <w:szCs w:val="24"/>
          <w:lang w:eastAsia="en-CA"/>
        </w:rPr>
        <w:t>consciousness</w:t>
      </w:r>
      <w:proofErr w:type="gramEnd"/>
      <w:r w:rsidRPr="00E36445">
        <w:rPr>
          <w:rFonts w:ascii="Arial" w:eastAsia="Times New Roman" w:hAnsi="Arial" w:cs="Times New Roman"/>
          <w:sz w:val="20"/>
          <w:szCs w:val="24"/>
          <w:lang w:eastAsia="en-CA"/>
        </w:rPr>
        <w:t>, etc. The aim is illumination of psychic conflicts, not aesthetic ranking.</w:t>
      </w:r>
    </w:p>
    <w:p w:rsid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4" w:history="1">
        <w:r w:rsidRPr="00E36445">
          <w:rPr>
            <w:rFonts w:ascii="Arial" w:eastAsia="Times New Roman" w:hAnsi="Arial" w:cs="Times New Roman"/>
            <w:b/>
            <w:i/>
            <w:sz w:val="20"/>
            <w:szCs w:val="24"/>
            <w:lang w:eastAsia="en-CA"/>
          </w:rPr>
          <w:t>Jungian</w:t>
        </w:r>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Jungians search for recurring poetic images, symbols and situations in poems, but their aim is not to categorize poems as Northrop Frye does but to relate them to larger patterns in society, whether native peoples or high civilizations.</w:t>
      </w: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5" w:history="1">
        <w:r w:rsidRPr="00E36445">
          <w:rPr>
            <w:rFonts w:ascii="Arial" w:eastAsia="Times New Roman" w:hAnsi="Arial" w:cs="Times New Roman"/>
            <w:b/>
            <w:i/>
            <w:sz w:val="20"/>
            <w:szCs w:val="24"/>
            <w:lang w:eastAsia="en-CA"/>
          </w:rPr>
          <w:t>Historical</w:t>
        </w:r>
      </w:hyperlink>
    </w:p>
    <w:p w:rsid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Poems are placed in their historical context — to explain not only their allusions and particular use of words, but the conventions and expectations of the times. The approach may be evaluative (i.e. the critic may suggest ways of responding to the poem once the perspective is corrected), or may simply use it as historical data.</w:t>
      </w:r>
    </w:p>
    <w:p w:rsidR="00E36445" w:rsidRP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6" w:history="1">
        <w:r w:rsidRPr="00E36445">
          <w:rPr>
            <w:rFonts w:ascii="Arial" w:eastAsia="Times New Roman" w:hAnsi="Arial" w:cs="Times New Roman"/>
            <w:b/>
            <w:i/>
            <w:sz w:val="20"/>
            <w:szCs w:val="24"/>
            <w:lang w:eastAsia="en-CA"/>
          </w:rPr>
          <w:t>Biographical</w:t>
        </w:r>
      </w:hyperlink>
    </w:p>
    <w:p w:rsidR="00E36445" w:rsidRPr="00E36445" w:rsidRDefault="00E36445" w:rsidP="00E36445">
      <w:pPr>
        <w:spacing w:after="0" w:line="315" w:lineRule="atLeast"/>
        <w:rPr>
          <w:rFonts w:ascii="Arial" w:eastAsia="Times New Roman" w:hAnsi="Arial" w:cs="Times New Roman"/>
          <w:sz w:val="20"/>
          <w:szCs w:val="24"/>
          <w:lang w:eastAsia="en-CA"/>
        </w:rPr>
      </w:pPr>
      <w:proofErr w:type="gramStart"/>
      <w:r w:rsidRPr="00E36445">
        <w:rPr>
          <w:rFonts w:ascii="Arial" w:eastAsia="Times New Roman" w:hAnsi="Arial" w:cs="Times New Roman"/>
          <w:sz w:val="20"/>
          <w:szCs w:val="24"/>
          <w:lang w:eastAsia="en-CA"/>
        </w:rPr>
        <w:t>As with the historical approach, a poem may be used to illuminate the writer's psychology, or as biographic data.</w:t>
      </w:r>
      <w:proofErr w:type="gramEnd"/>
      <w:r w:rsidRPr="00E36445">
        <w:rPr>
          <w:rFonts w:ascii="Arial" w:eastAsia="Times New Roman" w:hAnsi="Arial" w:cs="Times New Roman"/>
          <w:sz w:val="20"/>
          <w:szCs w:val="24"/>
          <w:lang w:eastAsia="en-CA"/>
        </w:rPr>
        <w:t xml:space="preserve"> No less than the correspondence, remembered conversations, choice of reading matter, the poem is analyzed for relevance to its author.</w:t>
      </w:r>
    </w:p>
    <w:p w:rsid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7" w:history="1">
        <w:r w:rsidRPr="00E36445">
          <w:rPr>
            <w:rFonts w:ascii="Arial" w:eastAsia="Times New Roman" w:hAnsi="Arial" w:cs="Times New Roman"/>
            <w:b/>
            <w:i/>
            <w:sz w:val="20"/>
            <w:szCs w:val="24"/>
            <w:lang w:eastAsia="en-CA"/>
          </w:rPr>
          <w:t>Sociological</w:t>
        </w:r>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Here the focus is on society as a whole, and critics assess the social factors at work in a poem, which may be everything from the attitudes a writer inherits from his social background to the markets which supported his literary efforts.</w:t>
      </w:r>
    </w:p>
    <w:p w:rsid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8" w:history="1">
        <w:r w:rsidRPr="00E36445">
          <w:rPr>
            <w:rFonts w:ascii="Arial" w:eastAsia="Times New Roman" w:hAnsi="Arial" w:cs="Times New Roman"/>
            <w:b/>
            <w:i/>
            <w:sz w:val="20"/>
            <w:szCs w:val="24"/>
            <w:lang w:eastAsia="en-CA"/>
          </w:rPr>
          <w:t>Political</w:t>
        </w:r>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It may be the political movements the poet supported which interest the critic, but more commonly the poem is assessed on political lines: how fairly or effectively it promotes political action or attitudes.</w:t>
      </w:r>
    </w:p>
    <w:p w:rsid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19" w:history="1">
        <w:r w:rsidRPr="00E36445">
          <w:rPr>
            <w:rFonts w:ascii="Arial" w:eastAsia="Times New Roman" w:hAnsi="Arial" w:cs="Times New Roman"/>
            <w:b/>
            <w:i/>
            <w:sz w:val="20"/>
            <w:szCs w:val="24"/>
            <w:lang w:eastAsia="en-CA"/>
          </w:rPr>
          <w:t>Marxist</w:t>
        </w:r>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The poem may be assessed on its political correctness — on its support for workers against capitalist exploitation — but most Marxists praise work that analyses or describes the injustices which Marxist societies aim to overcome.</w:t>
      </w:r>
    </w:p>
    <w:p w:rsid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20" w:history="1">
        <w:r w:rsidRPr="00E36445">
          <w:rPr>
            <w:rFonts w:ascii="Arial" w:eastAsia="Times New Roman" w:hAnsi="Arial" w:cs="Times New Roman"/>
            <w:b/>
            <w:i/>
            <w:sz w:val="20"/>
            <w:szCs w:val="24"/>
            <w:lang w:eastAsia="en-CA"/>
          </w:rPr>
          <w:t>Moralist</w:t>
        </w:r>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Many poets have strong </w:t>
      </w:r>
      <w:hyperlink r:id="rId21" w:history="1">
        <w:r w:rsidRPr="00E36445">
          <w:rPr>
            <w:rFonts w:ascii="Arial" w:eastAsia="Times New Roman" w:hAnsi="Arial" w:cs="Times New Roman"/>
            <w:sz w:val="20"/>
            <w:szCs w:val="24"/>
            <w:lang w:eastAsia="en-CA"/>
          </w:rPr>
          <w:t>ethical</w:t>
        </w:r>
      </w:hyperlink>
      <w:r w:rsidRPr="00E36445">
        <w:rPr>
          <w:rFonts w:ascii="Arial" w:eastAsia="Times New Roman" w:hAnsi="Arial" w:cs="Times New Roman"/>
          <w:sz w:val="20"/>
          <w:szCs w:val="24"/>
          <w:lang w:eastAsia="en-CA"/>
        </w:rPr>
        <w:t> or </w:t>
      </w:r>
      <w:hyperlink r:id="rId22" w:history="1">
        <w:r w:rsidRPr="00E36445">
          <w:rPr>
            <w:rFonts w:ascii="Arial" w:eastAsia="Times New Roman" w:hAnsi="Arial" w:cs="Times New Roman"/>
            <w:sz w:val="20"/>
            <w:szCs w:val="24"/>
            <w:lang w:eastAsia="en-CA"/>
          </w:rPr>
          <w:t>religious</w:t>
        </w:r>
      </w:hyperlink>
      <w:r w:rsidRPr="00E36445">
        <w:rPr>
          <w:rFonts w:ascii="Arial" w:eastAsia="Times New Roman" w:hAnsi="Arial" w:cs="Times New Roman"/>
          <w:sz w:val="20"/>
          <w:szCs w:val="24"/>
          <w:lang w:eastAsia="en-CA"/>
        </w:rPr>
        <w:t> convictions, but the moralist critic usually has a broader interest. Literature has a humanizing or civilizing mission, and the critic values work which furthers that end: promotes tolerance, social justice, sensitivity to individual wishes and talents, etc.</w:t>
      </w:r>
    </w:p>
    <w:p w:rsidR="00E36445" w:rsidRDefault="00E36445" w:rsidP="00E36445">
      <w:pPr>
        <w:spacing w:after="0" w:line="315" w:lineRule="atLeast"/>
        <w:rPr>
          <w:rFonts w:ascii="Arial" w:eastAsia="Times New Roman" w:hAnsi="Arial" w:cs="Times New Roman"/>
          <w:sz w:val="20"/>
          <w:szCs w:val="24"/>
          <w:lang w:eastAsia="en-CA"/>
        </w:rPr>
      </w:pPr>
    </w:p>
    <w:p w:rsidR="00E36445" w:rsidRPr="00E36445" w:rsidRDefault="00E36445" w:rsidP="00E36445">
      <w:pPr>
        <w:spacing w:after="0" w:line="315" w:lineRule="atLeast"/>
        <w:rPr>
          <w:rFonts w:ascii="Arial" w:eastAsia="Times New Roman" w:hAnsi="Arial" w:cs="Times New Roman"/>
          <w:b/>
          <w:i/>
          <w:sz w:val="20"/>
          <w:szCs w:val="24"/>
          <w:lang w:eastAsia="en-CA"/>
        </w:rPr>
      </w:pPr>
      <w:hyperlink r:id="rId23" w:history="1">
        <w:r w:rsidRPr="00E36445">
          <w:rPr>
            <w:rFonts w:ascii="Arial" w:eastAsia="Times New Roman" w:hAnsi="Arial" w:cs="Times New Roman"/>
            <w:b/>
            <w:i/>
            <w:sz w:val="20"/>
            <w:szCs w:val="24"/>
            <w:lang w:eastAsia="en-CA"/>
          </w:rPr>
          <w:t>Cognitive Scientific</w:t>
        </w:r>
      </w:hyperlink>
    </w:p>
    <w:p w:rsidR="00E36445" w:rsidRPr="00E36445" w:rsidRDefault="00E36445" w:rsidP="00E36445">
      <w:pPr>
        <w:spacing w:after="0" w:line="315" w:lineRule="atLeast"/>
        <w:rPr>
          <w:rFonts w:ascii="Arial" w:eastAsia="Times New Roman" w:hAnsi="Arial" w:cs="Times New Roman"/>
          <w:sz w:val="20"/>
          <w:szCs w:val="24"/>
          <w:lang w:eastAsia="en-CA"/>
        </w:rPr>
      </w:pPr>
      <w:r w:rsidRPr="00E36445">
        <w:rPr>
          <w:rFonts w:ascii="Arial" w:eastAsia="Times New Roman" w:hAnsi="Arial" w:cs="Times New Roman"/>
          <w:sz w:val="20"/>
          <w:szCs w:val="24"/>
          <w:lang w:eastAsia="en-CA"/>
        </w:rPr>
        <w:t xml:space="preserve">In contrast to others, which generally possess </w:t>
      </w:r>
      <w:proofErr w:type="gramStart"/>
      <w:r w:rsidRPr="00E36445">
        <w:rPr>
          <w:rFonts w:ascii="Arial" w:eastAsia="Times New Roman" w:hAnsi="Arial" w:cs="Times New Roman"/>
          <w:sz w:val="20"/>
          <w:szCs w:val="24"/>
          <w:lang w:eastAsia="en-CA"/>
        </w:rPr>
        <w:t>an</w:t>
      </w:r>
      <w:proofErr w:type="gramEnd"/>
      <w:r w:rsidRPr="00E36445">
        <w:rPr>
          <w:rFonts w:ascii="Arial" w:eastAsia="Times New Roman" w:hAnsi="Arial" w:cs="Times New Roman"/>
          <w:sz w:val="20"/>
          <w:szCs w:val="24"/>
          <w:lang w:eastAsia="en-CA"/>
        </w:rPr>
        <w:t xml:space="preserve"> humanities orientation, that of cognitive science attempts to relate poems to patterns of brain functioning. The approach is in its infancy, but holds some promise in the fractal self-similarity exhibited by works of art.</w:t>
      </w:r>
    </w:p>
    <w:p w:rsidR="006C6186" w:rsidRPr="00E36445" w:rsidRDefault="006C6186" w:rsidP="00E36445">
      <w:pPr>
        <w:spacing w:after="0"/>
        <w:rPr>
          <w:rFonts w:ascii="Arial" w:hAnsi="Arial"/>
          <w:sz w:val="20"/>
        </w:rPr>
      </w:pPr>
    </w:p>
    <w:sectPr w:rsidR="006C6186" w:rsidRPr="00E36445">
      <w:head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445" w:rsidRDefault="00E36445" w:rsidP="00E36445">
      <w:pPr>
        <w:spacing w:after="0" w:line="240" w:lineRule="auto"/>
      </w:pPr>
      <w:r>
        <w:separator/>
      </w:r>
    </w:p>
  </w:endnote>
  <w:endnote w:type="continuationSeparator" w:id="0">
    <w:p w:rsidR="00E36445" w:rsidRDefault="00E36445" w:rsidP="00E36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445" w:rsidRDefault="00E36445" w:rsidP="00E36445">
      <w:pPr>
        <w:spacing w:after="0" w:line="240" w:lineRule="auto"/>
      </w:pPr>
      <w:r>
        <w:separator/>
      </w:r>
    </w:p>
  </w:footnote>
  <w:footnote w:type="continuationSeparator" w:id="0">
    <w:p w:rsidR="00E36445" w:rsidRDefault="00E36445" w:rsidP="00E364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445" w:rsidRPr="00E36445" w:rsidRDefault="00E36445" w:rsidP="00E36445">
    <w:pPr>
      <w:pStyle w:val="Header"/>
      <w:rPr>
        <w:i/>
        <w:sz w:val="16"/>
        <w:lang w:val="en-US"/>
      </w:rPr>
    </w:pPr>
    <w:r w:rsidRPr="00E36445">
      <w:rPr>
        <w:i/>
        <w:sz w:val="16"/>
        <w:lang w:val="en-US"/>
      </w:rPr>
      <w:t>Mr. Go – Schools of Literary Criticism</w:t>
    </w:r>
    <w:r w:rsidRPr="00E36445">
      <w:rPr>
        <w:i/>
        <w:sz w:val="16"/>
        <w:lang w:val="en-US"/>
      </w:rPr>
      <w:tab/>
    </w:r>
    <w:r w:rsidRPr="00E36445">
      <w:rPr>
        <w:i/>
        <w:sz w:val="16"/>
        <w:lang w:val="en-US"/>
      </w:rPr>
      <w:tab/>
    </w:r>
    <w:sdt>
      <w:sdtPr>
        <w:rPr>
          <w:i/>
          <w:sz w:val="16"/>
        </w:rPr>
        <w:id w:val="1477648756"/>
        <w:docPartObj>
          <w:docPartGallery w:val="Page Numbers (Top of Page)"/>
          <w:docPartUnique/>
        </w:docPartObj>
      </w:sdtPr>
      <w:sdtContent>
        <w:r w:rsidRPr="00E36445">
          <w:rPr>
            <w:i/>
            <w:sz w:val="16"/>
          </w:rPr>
          <w:t xml:space="preserve">Page </w:t>
        </w:r>
        <w:r w:rsidRPr="00E36445">
          <w:rPr>
            <w:b/>
            <w:bCs/>
            <w:i/>
            <w:sz w:val="16"/>
            <w:szCs w:val="24"/>
          </w:rPr>
          <w:fldChar w:fldCharType="begin"/>
        </w:r>
        <w:r w:rsidRPr="00E36445">
          <w:rPr>
            <w:b/>
            <w:bCs/>
            <w:i/>
            <w:sz w:val="16"/>
          </w:rPr>
          <w:instrText xml:space="preserve"> PAGE </w:instrText>
        </w:r>
        <w:r w:rsidRPr="00E36445">
          <w:rPr>
            <w:b/>
            <w:bCs/>
            <w:i/>
            <w:sz w:val="16"/>
            <w:szCs w:val="24"/>
          </w:rPr>
          <w:fldChar w:fldCharType="separate"/>
        </w:r>
        <w:r w:rsidR="00DC4672">
          <w:rPr>
            <w:b/>
            <w:bCs/>
            <w:i/>
            <w:noProof/>
            <w:sz w:val="16"/>
          </w:rPr>
          <w:t>1</w:t>
        </w:r>
        <w:r w:rsidRPr="00E36445">
          <w:rPr>
            <w:b/>
            <w:bCs/>
            <w:i/>
            <w:sz w:val="16"/>
            <w:szCs w:val="24"/>
          </w:rPr>
          <w:fldChar w:fldCharType="end"/>
        </w:r>
        <w:r w:rsidRPr="00E36445">
          <w:rPr>
            <w:i/>
            <w:sz w:val="16"/>
          </w:rPr>
          <w:t xml:space="preserve"> of </w:t>
        </w:r>
        <w:r w:rsidRPr="00E36445">
          <w:rPr>
            <w:b/>
            <w:bCs/>
            <w:i/>
            <w:sz w:val="16"/>
            <w:szCs w:val="24"/>
          </w:rPr>
          <w:fldChar w:fldCharType="begin"/>
        </w:r>
        <w:r w:rsidRPr="00E36445">
          <w:rPr>
            <w:b/>
            <w:bCs/>
            <w:i/>
            <w:sz w:val="16"/>
          </w:rPr>
          <w:instrText xml:space="preserve"> NUMPAGES  </w:instrText>
        </w:r>
        <w:r w:rsidRPr="00E36445">
          <w:rPr>
            <w:b/>
            <w:bCs/>
            <w:i/>
            <w:sz w:val="16"/>
            <w:szCs w:val="24"/>
          </w:rPr>
          <w:fldChar w:fldCharType="separate"/>
        </w:r>
        <w:r w:rsidR="00DC4672">
          <w:rPr>
            <w:b/>
            <w:bCs/>
            <w:i/>
            <w:noProof/>
            <w:sz w:val="16"/>
          </w:rPr>
          <w:t>2</w:t>
        </w:r>
        <w:r w:rsidRPr="00E36445">
          <w:rPr>
            <w:b/>
            <w:bCs/>
            <w:i/>
            <w:sz w:val="16"/>
            <w:szCs w:val="24"/>
          </w:rPr>
          <w:fldChar w:fldCharType="end"/>
        </w:r>
      </w:sdtContent>
    </w:sdt>
  </w:p>
  <w:p w:rsidR="00E36445" w:rsidRPr="00E36445" w:rsidRDefault="00E36445" w:rsidP="00E36445">
    <w:pPr>
      <w:pStyle w:val="Header"/>
      <w:rPr>
        <w:i/>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445"/>
    <w:rsid w:val="006C6186"/>
    <w:rsid w:val="00DC4672"/>
    <w:rsid w:val="00E3644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36445"/>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6445"/>
    <w:rPr>
      <w:rFonts w:ascii="Times New Roman" w:eastAsia="Times New Roman" w:hAnsi="Times New Roman" w:cs="Times New Roman"/>
      <w:b/>
      <w:bCs/>
      <w:sz w:val="36"/>
      <w:szCs w:val="36"/>
      <w:lang w:eastAsia="en-CA"/>
    </w:rPr>
  </w:style>
  <w:style w:type="paragraph" w:styleId="NormalWeb">
    <w:name w:val="Normal (Web)"/>
    <w:basedOn w:val="Normal"/>
    <w:uiPriority w:val="99"/>
    <w:semiHidden/>
    <w:unhideWhenUsed/>
    <w:rsid w:val="00E36445"/>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E36445"/>
    <w:rPr>
      <w:color w:val="0000FF"/>
      <w:u w:val="single"/>
    </w:rPr>
  </w:style>
  <w:style w:type="character" w:customStyle="1" w:styleId="apple-converted-space">
    <w:name w:val="apple-converted-space"/>
    <w:basedOn w:val="DefaultParagraphFont"/>
    <w:rsid w:val="00E36445"/>
  </w:style>
  <w:style w:type="paragraph" w:styleId="Header">
    <w:name w:val="header"/>
    <w:basedOn w:val="Normal"/>
    <w:link w:val="HeaderChar"/>
    <w:uiPriority w:val="99"/>
    <w:unhideWhenUsed/>
    <w:rsid w:val="00E36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6445"/>
  </w:style>
  <w:style w:type="paragraph" w:styleId="Footer">
    <w:name w:val="footer"/>
    <w:basedOn w:val="Normal"/>
    <w:link w:val="FooterChar"/>
    <w:uiPriority w:val="99"/>
    <w:unhideWhenUsed/>
    <w:rsid w:val="00E36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64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36445"/>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6445"/>
    <w:rPr>
      <w:rFonts w:ascii="Times New Roman" w:eastAsia="Times New Roman" w:hAnsi="Times New Roman" w:cs="Times New Roman"/>
      <w:b/>
      <w:bCs/>
      <w:sz w:val="36"/>
      <w:szCs w:val="36"/>
      <w:lang w:eastAsia="en-CA"/>
    </w:rPr>
  </w:style>
  <w:style w:type="paragraph" w:styleId="NormalWeb">
    <w:name w:val="Normal (Web)"/>
    <w:basedOn w:val="Normal"/>
    <w:uiPriority w:val="99"/>
    <w:semiHidden/>
    <w:unhideWhenUsed/>
    <w:rsid w:val="00E36445"/>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E36445"/>
    <w:rPr>
      <w:color w:val="0000FF"/>
      <w:u w:val="single"/>
    </w:rPr>
  </w:style>
  <w:style w:type="character" w:customStyle="1" w:styleId="apple-converted-space">
    <w:name w:val="apple-converted-space"/>
    <w:basedOn w:val="DefaultParagraphFont"/>
    <w:rsid w:val="00E36445"/>
  </w:style>
  <w:style w:type="paragraph" w:styleId="Header">
    <w:name w:val="header"/>
    <w:basedOn w:val="Normal"/>
    <w:link w:val="HeaderChar"/>
    <w:uiPriority w:val="99"/>
    <w:unhideWhenUsed/>
    <w:rsid w:val="00E36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6445"/>
  </w:style>
  <w:style w:type="paragraph" w:styleId="Footer">
    <w:name w:val="footer"/>
    <w:basedOn w:val="Normal"/>
    <w:link w:val="FooterChar"/>
    <w:uiPriority w:val="99"/>
    <w:unhideWhenUsed/>
    <w:rsid w:val="00E36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6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76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xtetc.com/criticism/traditional-criticism.html" TargetMode="External"/><Relationship Id="rId13" Type="http://schemas.openxmlformats.org/officeDocument/2006/relationships/hyperlink" Target="http://www.textetc.com/criticism/freudian-criticism.html" TargetMode="External"/><Relationship Id="rId18" Type="http://schemas.openxmlformats.org/officeDocument/2006/relationships/hyperlink" Target="http://www.textetc.com/theory/marxist-views.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extetc.com/theory/feminism.html" TargetMode="External"/><Relationship Id="rId7" Type="http://schemas.openxmlformats.org/officeDocument/2006/relationships/hyperlink" Target="http://www.textetc.com/criticism.html" TargetMode="External"/><Relationship Id="rId12" Type="http://schemas.openxmlformats.org/officeDocument/2006/relationships/hyperlink" Target="http://www.textetc.com/criticism/myth-criticism.html" TargetMode="External"/><Relationship Id="rId17" Type="http://schemas.openxmlformats.org/officeDocument/2006/relationships/hyperlink" Target="http://www.textetc.com/theory/sociology-of-poetry.html"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textetc.com/workshop/wt-bhartrihari-1.html" TargetMode="External"/><Relationship Id="rId20" Type="http://schemas.openxmlformats.org/officeDocument/2006/relationships/hyperlink" Target="http://www.textetc.com/workshop/wa-high-modernist-1.html"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textetc.com/criticism/poststructuralist-criticism.html"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textetc.com/theory/hermeneutics.html" TargetMode="External"/><Relationship Id="rId23" Type="http://schemas.openxmlformats.org/officeDocument/2006/relationships/hyperlink" Target="http://www.textetc.com/criticism/fractal-criticism.html" TargetMode="External"/><Relationship Id="rId10" Type="http://schemas.openxmlformats.org/officeDocument/2006/relationships/hyperlink" Target="http://www.textetc.com/theory/art-as-not-autonomous.html" TargetMode="External"/><Relationship Id="rId19" Type="http://schemas.openxmlformats.org/officeDocument/2006/relationships/hyperlink" Target="http://www.textetc.com/theory/marxist-views.html" TargetMode="External"/><Relationship Id="rId4" Type="http://schemas.openxmlformats.org/officeDocument/2006/relationships/webSettings" Target="webSettings.xml"/><Relationship Id="rId9" Type="http://schemas.openxmlformats.org/officeDocument/2006/relationships/hyperlink" Target="http://www.textetc.com/criticism/the-new-criticism.html" TargetMode="External"/><Relationship Id="rId14" Type="http://schemas.openxmlformats.org/officeDocument/2006/relationships/hyperlink" Target="http://www.textetc.com/criticism/jungian-criticism.html" TargetMode="External"/><Relationship Id="rId22" Type="http://schemas.openxmlformats.org/officeDocument/2006/relationships/hyperlink" Target="http://www.textetc.com/theory/religious-perspectiv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 Terence</dc:creator>
  <cp:keywords/>
  <dc:description/>
  <cp:lastModifiedBy>Go, Terence</cp:lastModifiedBy>
  <cp:revision>2</cp:revision>
  <cp:lastPrinted>2012-10-01T14:09:00Z</cp:lastPrinted>
  <dcterms:created xsi:type="dcterms:W3CDTF">2012-10-01T14:01:00Z</dcterms:created>
  <dcterms:modified xsi:type="dcterms:W3CDTF">2012-10-01T14:10:00Z</dcterms:modified>
</cp:coreProperties>
</file>